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756C08DB" w:rsidR="00C7314B" w:rsidRPr="007747A6" w:rsidRDefault="00CA3801"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Conduction of Negotiations</w:t>
      </w:r>
    </w:p>
    <w:p w14:paraId="0CBDE923" w14:textId="77777777"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29C42E43" w14:textId="77777777" w:rsidR="00CA3801" w:rsidRPr="007747A6" w:rsidRDefault="00FF557B" w:rsidP="00CA3801">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CA3801">
        <w:rPr>
          <w:rFonts w:ascii="Times New Roman" w:hAnsi="Times New Roman"/>
          <w:b/>
          <w:bCs/>
          <w:sz w:val="24"/>
        </w:rPr>
        <w:lastRenderedPageBreak/>
        <w:t>Conduction of Negotiations</w:t>
      </w:r>
    </w:p>
    <w:p w14:paraId="1309A5BE" w14:textId="426AA70D" w:rsidR="005F7B83" w:rsidRDefault="000053DC" w:rsidP="000210DD">
      <w:pPr>
        <w:pStyle w:val="ListParagraph"/>
        <w:numPr>
          <w:ilvl w:val="0"/>
          <w:numId w:val="2"/>
        </w:numPr>
        <w:suppressAutoHyphens w:val="0"/>
        <w:spacing w:after="0" w:line="480" w:lineRule="auto"/>
        <w:rPr>
          <w:rFonts w:ascii="Times New Roman" w:eastAsia="Times New Roman" w:hAnsi="Times New Roman"/>
          <w:b/>
          <w:bCs/>
          <w:sz w:val="24"/>
          <w:szCs w:val="24"/>
        </w:rPr>
      </w:pPr>
      <w:r>
        <w:rPr>
          <w:rFonts w:ascii="Times New Roman" w:eastAsia="Times New Roman" w:hAnsi="Times New Roman"/>
          <w:b/>
          <w:bCs/>
          <w:sz w:val="24"/>
          <w:szCs w:val="24"/>
        </w:rPr>
        <w:t>How Negotiators Prepare Negotiations</w:t>
      </w:r>
    </w:p>
    <w:p w14:paraId="31D4CBE7" w14:textId="77777777" w:rsidR="003E3863" w:rsidRPr="003E3863" w:rsidRDefault="003E3863" w:rsidP="003E3863">
      <w:pPr>
        <w:suppressAutoHyphens w:val="0"/>
        <w:spacing w:after="0" w:line="480" w:lineRule="auto"/>
        <w:ind w:firstLine="720"/>
        <w:rPr>
          <w:rFonts w:ascii="Times New Roman" w:eastAsia="Times New Roman" w:hAnsi="Times New Roman"/>
          <w:sz w:val="24"/>
          <w:szCs w:val="24"/>
        </w:rPr>
      </w:pPr>
      <w:r w:rsidRPr="003E3863">
        <w:rPr>
          <w:rFonts w:ascii="Times New Roman" w:eastAsia="Times New Roman" w:hAnsi="Times New Roman"/>
          <w:sz w:val="24"/>
          <w:szCs w:val="24"/>
        </w:rPr>
        <w:t>When parties disagree or have different views on an issue, a negotiation is implemented to avoid arguing and provide an agreement. Consequently, a negotiation involves strategic discussions to address an issue by establishing an acceptable conclusion to all parties involved (Balliu &amp; Spahiu, 2020). Moreover, negotiators achieve desired results through adequate preparation for the negotiations. The degree of preparation of negotiators defines the outcome of the entire negotiation since it states the specific steps to implement during the negotiation.</w:t>
      </w:r>
    </w:p>
    <w:p w14:paraId="4B9F1A5C" w14:textId="77777777" w:rsidR="003E3863" w:rsidRPr="003E3863" w:rsidRDefault="003E3863" w:rsidP="003E3863">
      <w:pPr>
        <w:suppressAutoHyphens w:val="0"/>
        <w:spacing w:after="0" w:line="480" w:lineRule="auto"/>
        <w:ind w:firstLine="720"/>
        <w:rPr>
          <w:rFonts w:ascii="Times New Roman" w:eastAsia="Times New Roman" w:hAnsi="Times New Roman"/>
          <w:sz w:val="24"/>
          <w:szCs w:val="24"/>
        </w:rPr>
      </w:pPr>
      <w:r w:rsidRPr="003E3863">
        <w:rPr>
          <w:rFonts w:ascii="Times New Roman" w:eastAsia="Times New Roman" w:hAnsi="Times New Roman"/>
          <w:sz w:val="24"/>
          <w:szCs w:val="24"/>
        </w:rPr>
        <w:t>The preparations made by negotiators provide an analysis of the whole negotiation process to the outcome. Some of these preparations made include the formulation of a negotiation team based on the situation, establishing the specific negotiation issues and objectives, identifying the parties' approaches, and assessing the bargaining strength and weaknesses. Once that is achieved, the negotiators also establish the negotiation priorities, determines the specific negotiation approach to use, prepares a negotiation plan, and prepares a negotiation agenda to define the specific steps to be carried out during the negotiation (Balliu &amp; Spahiu, 2020). Once implemented, these preparations equip the negotiator with skills to implement an effective negotiation.</w:t>
      </w:r>
    </w:p>
    <w:p w14:paraId="31C3132A" w14:textId="77777777" w:rsidR="003E3863" w:rsidRPr="003E3863" w:rsidRDefault="003E3863" w:rsidP="003E3863">
      <w:pPr>
        <w:suppressAutoHyphens w:val="0"/>
        <w:spacing w:after="0" w:line="480" w:lineRule="auto"/>
        <w:ind w:firstLine="720"/>
        <w:rPr>
          <w:rFonts w:ascii="Times New Roman" w:eastAsia="Times New Roman" w:hAnsi="Times New Roman"/>
          <w:sz w:val="24"/>
          <w:szCs w:val="24"/>
        </w:rPr>
      </w:pPr>
      <w:r w:rsidRPr="003E3863">
        <w:rPr>
          <w:rFonts w:ascii="Times New Roman" w:eastAsia="Times New Roman" w:hAnsi="Times New Roman"/>
          <w:sz w:val="24"/>
          <w:szCs w:val="24"/>
        </w:rPr>
        <w:t xml:space="preserve">Furthermore, identifying the most appropriate negotiation approaches also plays a vital role in determining the outcome of the negotiation (Abigail et al., 2018). For instance, the distributive bargaining approaches involve negotiators mainly interested in achieving and maximizing their interests; therefore, there is minimal to no consideration of joint success with the other party. In addition, the integrative bargaining approaches involve negotiators that focus on establishing cooperation with the other parties to achieve the maximization of joint interests </w:t>
      </w:r>
      <w:r w:rsidRPr="003E3863">
        <w:rPr>
          <w:rFonts w:ascii="Times New Roman" w:eastAsia="Times New Roman" w:hAnsi="Times New Roman"/>
          <w:sz w:val="24"/>
          <w:szCs w:val="24"/>
        </w:rPr>
        <w:lastRenderedPageBreak/>
        <w:t>(Abigail et al., 2018). However, the adoption of either the distributive or the integrative bargaining approaches is based on the negotiators, attributes, and behaviors.</w:t>
      </w:r>
    </w:p>
    <w:p w14:paraId="44A2FB71" w14:textId="23C300A3" w:rsidR="00AE3D9C" w:rsidRDefault="003E3863" w:rsidP="003E3863">
      <w:pPr>
        <w:suppressAutoHyphens w:val="0"/>
        <w:spacing w:after="0" w:line="480" w:lineRule="auto"/>
        <w:ind w:firstLine="720"/>
        <w:rPr>
          <w:rFonts w:ascii="Times New Roman" w:eastAsia="Times New Roman" w:hAnsi="Times New Roman"/>
          <w:sz w:val="24"/>
          <w:szCs w:val="24"/>
        </w:rPr>
      </w:pPr>
      <w:r w:rsidRPr="003E3863">
        <w:rPr>
          <w:rFonts w:ascii="Times New Roman" w:eastAsia="Times New Roman" w:hAnsi="Times New Roman"/>
          <w:sz w:val="24"/>
          <w:szCs w:val="24"/>
        </w:rPr>
        <w:t>Therefore, for negotiators who choose and implement distributive bargaining approaches they are mostly characterized by non-cooperative behavior (Abigail et al., 2018). In most cases, distributive negotiators are focused on competition and win-lose outcomes. Therefore, they also depict competitive behavior and a lack of compromise attitude. On the other hand, negotiators that adopt integrative bargaining approaches tend to depict cooperative behaviors and are focused on establishing a win-win outcome. Therefore, depending on the negotiators' aim and behavior, they may choose one over the other (Abigail et al., 2018). In most cases, a negotiator would adopt the distributive bargaining approaches when involved in business negotiation and adopt integrative bargaining approaches when involved in a friendly and family-based negotiation.</w:t>
      </w:r>
    </w:p>
    <w:p w14:paraId="3500D230" w14:textId="4C4D67B6" w:rsidR="00AE3D9C" w:rsidRPr="007C7EA3" w:rsidRDefault="00AE3D9C" w:rsidP="00AE3D9C">
      <w:pPr>
        <w:pStyle w:val="ListParagraph"/>
        <w:numPr>
          <w:ilvl w:val="0"/>
          <w:numId w:val="2"/>
        </w:numPr>
        <w:suppressAutoHyphens w:val="0"/>
        <w:spacing w:after="0" w:line="480" w:lineRule="auto"/>
        <w:rPr>
          <w:rFonts w:ascii="Times New Roman" w:eastAsia="Times New Roman" w:hAnsi="Times New Roman"/>
          <w:b/>
          <w:bCs/>
          <w:sz w:val="24"/>
          <w:szCs w:val="24"/>
        </w:rPr>
      </w:pPr>
      <w:r w:rsidRPr="007C7EA3">
        <w:rPr>
          <w:rFonts w:ascii="Times New Roman" w:eastAsia="Times New Roman" w:hAnsi="Times New Roman"/>
          <w:b/>
          <w:bCs/>
          <w:sz w:val="24"/>
          <w:szCs w:val="24"/>
        </w:rPr>
        <w:t xml:space="preserve">Reasons </w:t>
      </w:r>
      <w:r w:rsidR="007C7EA3" w:rsidRPr="007C7EA3">
        <w:rPr>
          <w:rFonts w:ascii="Times New Roman" w:eastAsia="Times New Roman" w:hAnsi="Times New Roman"/>
          <w:b/>
          <w:bCs/>
          <w:sz w:val="24"/>
          <w:szCs w:val="24"/>
        </w:rPr>
        <w:t>why both Management and the Union Favor No-Strike, No-Lockout Provisions</w:t>
      </w:r>
      <w:r w:rsidR="009852F9">
        <w:rPr>
          <w:rFonts w:ascii="Times New Roman" w:eastAsia="Times New Roman" w:hAnsi="Times New Roman"/>
          <w:b/>
          <w:bCs/>
          <w:sz w:val="24"/>
          <w:szCs w:val="24"/>
        </w:rPr>
        <w:t>.</w:t>
      </w:r>
    </w:p>
    <w:p w14:paraId="7934612F" w14:textId="77777777" w:rsidR="000E1781" w:rsidRPr="000E1781" w:rsidRDefault="000E1781" w:rsidP="000E1781">
      <w:pPr>
        <w:suppressAutoHyphens w:val="0"/>
        <w:spacing w:after="0" w:line="480" w:lineRule="auto"/>
        <w:ind w:firstLine="720"/>
        <w:rPr>
          <w:rFonts w:ascii="Times New Roman" w:eastAsia="Times New Roman" w:hAnsi="Times New Roman"/>
          <w:sz w:val="24"/>
          <w:szCs w:val="24"/>
        </w:rPr>
      </w:pPr>
      <w:r w:rsidRPr="000E1781">
        <w:rPr>
          <w:rFonts w:ascii="Times New Roman" w:eastAsia="Times New Roman" w:hAnsi="Times New Roman"/>
          <w:sz w:val="24"/>
          <w:szCs w:val="24"/>
        </w:rPr>
        <w:t xml:space="preserve">Strikes are often used by unions and employees to exert pressure on employers to meet the needs of the employees. However, in most cases, strikes result in negative outcomes for employers and the union due to events resulting from strikes, such as property destruction events. In case of a conflict between the employer and the employees, most management and unions opt to develop an agreement that addresses the issue by stating that no-strike, no lockout governing both the employer and the employees. The agreement's development is often based on the management and the union favoring no-strike provisions due to various reasons (Ugoani, 2019). An excellent example of these reasons is that it facilitates peaceful negotiations based on the agreement drafted. Therefore, when a disagreement occurs between the management and the </w:t>
      </w:r>
      <w:r w:rsidRPr="000E1781">
        <w:rPr>
          <w:rFonts w:ascii="Times New Roman" w:eastAsia="Times New Roman" w:hAnsi="Times New Roman"/>
          <w:sz w:val="24"/>
          <w:szCs w:val="24"/>
        </w:rPr>
        <w:lastRenderedPageBreak/>
        <w:t>employees, the employer does not lock out the employees, neither do the employees strike or engage in similar activities. As a result, future negotiations under the agreement tend to be peaceful (Ugoani, 2019).</w:t>
      </w:r>
    </w:p>
    <w:p w14:paraId="69812FD9" w14:textId="77777777" w:rsidR="000E1781" w:rsidRPr="000E1781" w:rsidRDefault="000E1781" w:rsidP="000E1781">
      <w:pPr>
        <w:suppressAutoHyphens w:val="0"/>
        <w:spacing w:after="0" w:line="480" w:lineRule="auto"/>
        <w:ind w:firstLine="720"/>
        <w:rPr>
          <w:rFonts w:ascii="Times New Roman" w:eastAsia="Times New Roman" w:hAnsi="Times New Roman"/>
          <w:sz w:val="24"/>
          <w:szCs w:val="24"/>
        </w:rPr>
      </w:pPr>
      <w:r w:rsidRPr="000E1781">
        <w:rPr>
          <w:rFonts w:ascii="Times New Roman" w:eastAsia="Times New Roman" w:hAnsi="Times New Roman"/>
          <w:sz w:val="24"/>
          <w:szCs w:val="24"/>
        </w:rPr>
        <w:t xml:space="preserve">Additionally, various methods are adopted to ensure that a negotiation impasse is conducted peacefully. In this case, the adopted negotiation methods focus on providing a win-win solution to the problem, since it may be a challenge to implement a competition-based negotiation. One of these methods is through considering the individual values of the other party (Menkel-Meadow et al., 2020). One of this method's major advantages is that the worth or value is only placed on the problem and not the other party's individual. As a result, this method facilitates maintaining a good relationship even after the negotiation process, since the process is conducted peacefully. However, it may be disadvantageous since it exposes the negotiator to the risk of misinterpreting the other party's interests, influencing the negotiation plan. </w:t>
      </w:r>
    </w:p>
    <w:p w14:paraId="782C6F04" w14:textId="1C1587B4" w:rsidR="0034339A" w:rsidRDefault="000E1781" w:rsidP="000E1781">
      <w:pPr>
        <w:suppressAutoHyphens w:val="0"/>
        <w:spacing w:after="0" w:line="480" w:lineRule="auto"/>
        <w:ind w:firstLine="720"/>
        <w:rPr>
          <w:rFonts w:ascii="Times New Roman" w:eastAsia="Times New Roman" w:hAnsi="Times New Roman"/>
          <w:sz w:val="24"/>
          <w:szCs w:val="24"/>
        </w:rPr>
      </w:pPr>
      <w:r w:rsidRPr="000E1781">
        <w:rPr>
          <w:rFonts w:ascii="Times New Roman" w:eastAsia="Times New Roman" w:hAnsi="Times New Roman"/>
          <w:sz w:val="24"/>
          <w:szCs w:val="24"/>
        </w:rPr>
        <w:t>Another peaceful negotiation method is building a rapport with the other party, making it easier to carry out a dialogue. A conducive and appropriate rapport creates a relationship during the negotiation process; as a result, the negotiation is conducted with ideas past the problem. Moreover, this method allows the negotiator to understand the specific interests of the other party; therefore, it helps in developing the specific common grounds and the shared values (Menkel-Meadow et al., 2020). However, this method may have its disadvantages since it is based on speculation of the other party. Thus, in some cases, the other party may not be interested in developing a rapport. As a result, it could facilitate the adoption of competitive based behavior.</w:t>
      </w:r>
      <w:r w:rsidR="00DC5324">
        <w:rPr>
          <w:rFonts w:ascii="Times New Roman" w:eastAsia="Times New Roman" w:hAnsi="Times New Roman"/>
          <w:sz w:val="24"/>
          <w:szCs w:val="24"/>
        </w:rPr>
        <w:t xml:space="preserve"> </w:t>
      </w:r>
    </w:p>
    <w:p w14:paraId="6DFF0865" w14:textId="0DBA8520" w:rsidR="00A2759E" w:rsidRPr="00861B93" w:rsidRDefault="00861B93" w:rsidP="00861B93">
      <w:pPr>
        <w:pStyle w:val="ListParagraph"/>
        <w:numPr>
          <w:ilvl w:val="0"/>
          <w:numId w:val="2"/>
        </w:numPr>
        <w:suppressAutoHyphens w:val="0"/>
        <w:spacing w:after="0" w:line="480" w:lineRule="auto"/>
        <w:rPr>
          <w:rFonts w:ascii="Times New Roman" w:eastAsia="Times New Roman" w:hAnsi="Times New Roman"/>
          <w:b/>
          <w:bCs/>
          <w:sz w:val="24"/>
          <w:szCs w:val="24"/>
        </w:rPr>
      </w:pPr>
      <w:r w:rsidRPr="00861B93">
        <w:rPr>
          <w:rFonts w:ascii="Times New Roman" w:eastAsia="Times New Roman" w:hAnsi="Times New Roman"/>
          <w:b/>
          <w:bCs/>
          <w:sz w:val="24"/>
          <w:szCs w:val="24"/>
        </w:rPr>
        <w:t>Difference between an Offer for a Unilateral Contract and an Offer for a Bilateral Contract.</w:t>
      </w:r>
    </w:p>
    <w:p w14:paraId="4791C443" w14:textId="2EF08F12" w:rsidR="00861B93" w:rsidRPr="00861B93" w:rsidRDefault="00653B96" w:rsidP="00653B96">
      <w:pPr>
        <w:suppressAutoHyphens w:val="0"/>
        <w:spacing w:after="0" w:line="480" w:lineRule="auto"/>
        <w:ind w:firstLine="720"/>
        <w:rPr>
          <w:rFonts w:ascii="Times New Roman" w:eastAsia="Times New Roman" w:hAnsi="Times New Roman"/>
          <w:sz w:val="24"/>
          <w:szCs w:val="24"/>
        </w:rPr>
      </w:pPr>
      <w:r w:rsidRPr="00653B96">
        <w:rPr>
          <w:rFonts w:ascii="Times New Roman" w:eastAsia="Times New Roman" w:hAnsi="Times New Roman"/>
          <w:sz w:val="24"/>
          <w:szCs w:val="24"/>
        </w:rPr>
        <w:lastRenderedPageBreak/>
        <w:t>An offer from a unilateral contract involves a proposal made by only one party; therefore, no one is forced to up the offer. On the other hand, an offer for a bilateral contract involves an agreement between two parties on a specific price; therefore, both parties often implement the adopted terms (Kani &amp; Motohashi, 2016). Moreover, both offers are often exposed to other issues that may influence their outcome, such as the mode of agreements used. Moreover, understanding the difference between these two offers is important since it facilitates understanding of various aspects. For instance, the understanding of who is obligated in the offer, who the offer is extended to, for instance, whereby a unilateral offer is extended to many people; however, a bilateral offer is only available to the two parties involved.</w:t>
      </w:r>
    </w:p>
    <w:p w14:paraId="32B1259D" w14:textId="77777777" w:rsidR="009247D8" w:rsidRDefault="009247D8" w:rsidP="007C7EA3">
      <w:pPr>
        <w:suppressAutoHyphens w:val="0"/>
        <w:spacing w:after="0" w:line="480" w:lineRule="auto"/>
        <w:rPr>
          <w:rFonts w:ascii="Times New Roman" w:eastAsia="Times New Roman" w:hAnsi="Times New Roman"/>
          <w:sz w:val="24"/>
          <w:szCs w:val="24"/>
        </w:rPr>
      </w:pPr>
    </w:p>
    <w:p w14:paraId="4AC54D6A" w14:textId="77777777" w:rsidR="00B70869" w:rsidRPr="007C7EA3" w:rsidRDefault="00B70869" w:rsidP="007C7EA3">
      <w:pPr>
        <w:suppressAutoHyphens w:val="0"/>
        <w:spacing w:after="0" w:line="480" w:lineRule="auto"/>
        <w:rPr>
          <w:rFonts w:ascii="Times New Roman" w:eastAsia="Times New Roman" w:hAnsi="Times New Roman"/>
          <w:sz w:val="24"/>
          <w:szCs w:val="24"/>
        </w:rPr>
      </w:pPr>
    </w:p>
    <w:p w14:paraId="6B7B4017" w14:textId="68F9724E" w:rsidR="00F2391A" w:rsidRPr="00FD0EA7" w:rsidRDefault="00FD0EA7" w:rsidP="000210DD">
      <w:pPr>
        <w:suppressAutoHyphens w:val="0"/>
        <w:spacing w:after="0" w:line="480" w:lineRule="auto"/>
        <w:rPr>
          <w:rFonts w:ascii="Times New Roman" w:eastAsia="Times New Roman" w:hAnsi="Times New Roman"/>
          <w:sz w:val="24"/>
          <w:szCs w:val="24"/>
        </w:rPr>
      </w:pPr>
      <w:r>
        <w:rPr>
          <w:rFonts w:ascii="Times New Roman" w:eastAsia="Times New Roman" w:hAnsi="Times New Roman"/>
          <w:sz w:val="24"/>
          <w:szCs w:val="24"/>
        </w:rPr>
        <w:br w:type="page"/>
      </w:r>
    </w:p>
    <w:p w14:paraId="377CE8CA" w14:textId="237C7AA8"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14:paraId="6C6722B0" w14:textId="56EB31B8" w:rsidR="000E06D9" w:rsidRDefault="000E06D9" w:rsidP="00D603E0">
      <w:pPr>
        <w:spacing w:after="0" w:line="480" w:lineRule="auto"/>
        <w:ind w:left="720" w:hanging="720"/>
        <w:contextualSpacing/>
        <w:jc w:val="both"/>
        <w:rPr>
          <w:rFonts w:ascii="Times New Roman" w:hAnsi="Times New Roman"/>
          <w:sz w:val="24"/>
          <w:szCs w:val="24"/>
          <w:shd w:val="clear" w:color="auto" w:fill="FFFFFF"/>
        </w:rPr>
      </w:pPr>
      <w:r w:rsidRPr="000E06D9">
        <w:rPr>
          <w:rFonts w:ascii="Times New Roman" w:hAnsi="Times New Roman"/>
          <w:sz w:val="24"/>
          <w:szCs w:val="24"/>
          <w:shd w:val="clear" w:color="auto" w:fill="FFFFFF"/>
        </w:rPr>
        <w:t>Abigail, D. M. Y., Eden, D., &amp; Ideris, A. (2018). A Review of Distributive and Integrative Strategies in the Negotiation Process. </w:t>
      </w:r>
      <w:r w:rsidRPr="000E06D9">
        <w:rPr>
          <w:rFonts w:ascii="Times New Roman" w:hAnsi="Times New Roman"/>
          <w:i/>
          <w:iCs/>
          <w:sz w:val="24"/>
          <w:szCs w:val="24"/>
          <w:shd w:val="clear" w:color="auto" w:fill="FFFFFF"/>
        </w:rPr>
        <w:t>Malaysian Journal of Social Sciences and Humanities (MJSSH)</w:t>
      </w:r>
      <w:r w:rsidRPr="000E06D9">
        <w:rPr>
          <w:rFonts w:ascii="Times New Roman" w:hAnsi="Times New Roman"/>
          <w:sz w:val="24"/>
          <w:szCs w:val="24"/>
          <w:shd w:val="clear" w:color="auto" w:fill="FFFFFF"/>
        </w:rPr>
        <w:t>, </w:t>
      </w:r>
      <w:r w:rsidRPr="000E06D9">
        <w:rPr>
          <w:rFonts w:ascii="Times New Roman" w:hAnsi="Times New Roman"/>
          <w:i/>
          <w:iCs/>
          <w:sz w:val="24"/>
          <w:szCs w:val="24"/>
          <w:shd w:val="clear" w:color="auto" w:fill="FFFFFF"/>
        </w:rPr>
        <w:t>3</w:t>
      </w:r>
      <w:r w:rsidRPr="000E06D9">
        <w:rPr>
          <w:rFonts w:ascii="Times New Roman" w:hAnsi="Times New Roman"/>
          <w:sz w:val="24"/>
          <w:szCs w:val="24"/>
          <w:shd w:val="clear" w:color="auto" w:fill="FFFFFF"/>
        </w:rPr>
        <w:t>(5), 68-74.</w:t>
      </w:r>
    </w:p>
    <w:p w14:paraId="17DF46DF" w14:textId="5A49302E" w:rsidR="00B022BF" w:rsidRPr="009E5FF7" w:rsidRDefault="00B022BF" w:rsidP="00D603E0">
      <w:pPr>
        <w:spacing w:after="0" w:line="480" w:lineRule="auto"/>
        <w:ind w:left="720" w:hanging="720"/>
        <w:contextualSpacing/>
        <w:jc w:val="both"/>
        <w:rPr>
          <w:rFonts w:ascii="Times New Roman" w:hAnsi="Times New Roman"/>
          <w:sz w:val="24"/>
          <w:szCs w:val="24"/>
          <w:shd w:val="clear" w:color="auto" w:fill="FFFFFF"/>
        </w:rPr>
      </w:pPr>
      <w:r w:rsidRPr="00B022BF">
        <w:rPr>
          <w:rFonts w:ascii="Times New Roman" w:hAnsi="Times New Roman"/>
          <w:sz w:val="24"/>
          <w:szCs w:val="24"/>
          <w:shd w:val="clear" w:color="auto" w:fill="FFFFFF"/>
        </w:rPr>
        <w:t>Balliu, T., &amp; Spahiu, A. (2020). Pre-Negotiation Activities: A Study of the Main Activities Undertaken by the Negotiators as Preparation for Negotiation. </w:t>
      </w:r>
      <w:r w:rsidRPr="00B022BF">
        <w:rPr>
          <w:rFonts w:ascii="Times New Roman" w:hAnsi="Times New Roman"/>
          <w:i/>
          <w:iCs/>
          <w:sz w:val="24"/>
          <w:szCs w:val="24"/>
          <w:shd w:val="clear" w:color="auto" w:fill="FFFFFF"/>
        </w:rPr>
        <w:t>European Journal of Economics and Business Studies</w:t>
      </w:r>
      <w:r w:rsidRPr="00B022BF">
        <w:rPr>
          <w:rFonts w:ascii="Times New Roman" w:hAnsi="Times New Roman"/>
          <w:sz w:val="24"/>
          <w:szCs w:val="24"/>
          <w:shd w:val="clear" w:color="auto" w:fill="FFFFFF"/>
        </w:rPr>
        <w:t>, </w:t>
      </w:r>
      <w:r w:rsidRPr="00B022BF">
        <w:rPr>
          <w:rFonts w:ascii="Times New Roman" w:hAnsi="Times New Roman"/>
          <w:i/>
          <w:iCs/>
          <w:sz w:val="24"/>
          <w:szCs w:val="24"/>
          <w:shd w:val="clear" w:color="auto" w:fill="FFFFFF"/>
        </w:rPr>
        <w:t>6</w:t>
      </w:r>
      <w:r w:rsidRPr="00B022BF">
        <w:rPr>
          <w:rFonts w:ascii="Times New Roman" w:hAnsi="Times New Roman"/>
          <w:sz w:val="24"/>
          <w:szCs w:val="24"/>
          <w:shd w:val="clear" w:color="auto" w:fill="FFFFFF"/>
        </w:rPr>
        <w:t>(2), 75-86.</w:t>
      </w:r>
    </w:p>
    <w:p w14:paraId="44CA4088" w14:textId="18194916" w:rsidR="009E5FF7" w:rsidRPr="009E5FF7" w:rsidRDefault="009E5FF7" w:rsidP="00D603E0">
      <w:pPr>
        <w:spacing w:after="0" w:line="480" w:lineRule="auto"/>
        <w:ind w:left="720" w:hanging="720"/>
        <w:contextualSpacing/>
        <w:jc w:val="both"/>
        <w:rPr>
          <w:rFonts w:ascii="Times New Roman" w:hAnsi="Times New Roman"/>
          <w:sz w:val="24"/>
          <w:szCs w:val="24"/>
          <w:shd w:val="clear" w:color="auto" w:fill="FFFFFF"/>
        </w:rPr>
      </w:pPr>
      <w:r w:rsidRPr="009E5FF7">
        <w:rPr>
          <w:rFonts w:ascii="Times New Roman" w:hAnsi="Times New Roman"/>
          <w:sz w:val="24"/>
          <w:szCs w:val="24"/>
          <w:shd w:val="clear" w:color="auto" w:fill="FFFFFF"/>
        </w:rPr>
        <w:t>Kani, M., &amp; Motohashi, K. (2016). Understanding External Technology Sourcing in New Product Development Projects: Bilateral vs. unilateral contracts. </w:t>
      </w:r>
      <w:r w:rsidRPr="009E5FF7">
        <w:rPr>
          <w:rFonts w:ascii="Times New Roman" w:hAnsi="Times New Roman"/>
          <w:i/>
          <w:iCs/>
          <w:sz w:val="24"/>
          <w:szCs w:val="24"/>
          <w:shd w:val="clear" w:color="auto" w:fill="FFFFFF"/>
        </w:rPr>
        <w:t>Research Institute of Economy, Trade and Industry (RIETI)</w:t>
      </w:r>
      <w:r w:rsidRPr="009E5FF7">
        <w:rPr>
          <w:rFonts w:ascii="Times New Roman" w:hAnsi="Times New Roman"/>
          <w:sz w:val="24"/>
          <w:szCs w:val="24"/>
          <w:shd w:val="clear" w:color="auto" w:fill="FFFFFF"/>
        </w:rPr>
        <w:t>.</w:t>
      </w:r>
    </w:p>
    <w:p w14:paraId="5E60F5AF" w14:textId="0379E9F5" w:rsidR="00A56139" w:rsidRPr="00A56139" w:rsidRDefault="00A56139" w:rsidP="00D603E0">
      <w:pPr>
        <w:spacing w:after="0" w:line="480" w:lineRule="auto"/>
        <w:ind w:left="720" w:hanging="720"/>
        <w:contextualSpacing/>
        <w:jc w:val="both"/>
        <w:rPr>
          <w:rFonts w:ascii="Times New Roman" w:hAnsi="Times New Roman"/>
          <w:sz w:val="24"/>
          <w:szCs w:val="24"/>
          <w:shd w:val="clear" w:color="auto" w:fill="FFFFFF"/>
        </w:rPr>
      </w:pPr>
      <w:r w:rsidRPr="00A56139">
        <w:rPr>
          <w:rFonts w:ascii="Times New Roman" w:hAnsi="Times New Roman"/>
          <w:sz w:val="24"/>
          <w:szCs w:val="24"/>
          <w:shd w:val="clear" w:color="auto" w:fill="FFFFFF"/>
        </w:rPr>
        <w:t>Menkel-Meadow, C., Schneider, A. K., &amp; Love, L. P. (2020). </w:t>
      </w:r>
      <w:r w:rsidRPr="00A56139">
        <w:rPr>
          <w:rFonts w:ascii="Times New Roman" w:hAnsi="Times New Roman"/>
          <w:i/>
          <w:iCs/>
          <w:sz w:val="24"/>
          <w:szCs w:val="24"/>
          <w:shd w:val="clear" w:color="auto" w:fill="FFFFFF"/>
        </w:rPr>
        <w:t>Negotiation: processes for problem solving</w:t>
      </w:r>
      <w:r w:rsidRPr="00A56139">
        <w:rPr>
          <w:rFonts w:ascii="Times New Roman" w:hAnsi="Times New Roman"/>
          <w:sz w:val="24"/>
          <w:szCs w:val="24"/>
          <w:shd w:val="clear" w:color="auto" w:fill="FFFFFF"/>
        </w:rPr>
        <w:t>. Wolters Kluwer.</w:t>
      </w:r>
    </w:p>
    <w:p w14:paraId="4D30467D" w14:textId="0C057614" w:rsidR="007A63CF" w:rsidRDefault="007A63CF" w:rsidP="00D603E0">
      <w:pPr>
        <w:spacing w:after="0" w:line="480" w:lineRule="auto"/>
        <w:ind w:left="720" w:hanging="720"/>
        <w:contextualSpacing/>
        <w:jc w:val="both"/>
        <w:rPr>
          <w:rFonts w:ascii="Times New Roman" w:hAnsi="Times New Roman"/>
          <w:sz w:val="24"/>
          <w:szCs w:val="24"/>
          <w:shd w:val="clear" w:color="auto" w:fill="FFFFFF"/>
        </w:rPr>
      </w:pPr>
      <w:r w:rsidRPr="007A63CF">
        <w:rPr>
          <w:rFonts w:ascii="Times New Roman" w:hAnsi="Times New Roman"/>
          <w:sz w:val="24"/>
          <w:szCs w:val="24"/>
          <w:shd w:val="clear" w:color="auto" w:fill="FFFFFF"/>
        </w:rPr>
        <w:t>Ugoani, J. (2019). Labour Management Relations as a Framework for Industrial Sustainability. </w:t>
      </w:r>
      <w:r w:rsidRPr="007A63CF">
        <w:rPr>
          <w:rFonts w:ascii="Times New Roman" w:hAnsi="Times New Roman"/>
          <w:i/>
          <w:iCs/>
          <w:sz w:val="24"/>
          <w:szCs w:val="24"/>
          <w:shd w:val="clear" w:color="auto" w:fill="FFFFFF"/>
        </w:rPr>
        <w:t>American Journal of Social Sciences and Humanities</w:t>
      </w:r>
      <w:r w:rsidRPr="007A63CF">
        <w:rPr>
          <w:rFonts w:ascii="Times New Roman" w:hAnsi="Times New Roman"/>
          <w:sz w:val="24"/>
          <w:szCs w:val="24"/>
          <w:shd w:val="clear" w:color="auto" w:fill="FFFFFF"/>
        </w:rPr>
        <w:t>, </w:t>
      </w:r>
      <w:r w:rsidRPr="007A63CF">
        <w:rPr>
          <w:rFonts w:ascii="Times New Roman" w:hAnsi="Times New Roman"/>
          <w:i/>
          <w:iCs/>
          <w:sz w:val="24"/>
          <w:szCs w:val="24"/>
          <w:shd w:val="clear" w:color="auto" w:fill="FFFFFF"/>
        </w:rPr>
        <w:t>4</w:t>
      </w:r>
      <w:r w:rsidRPr="007A63CF">
        <w:rPr>
          <w:rFonts w:ascii="Times New Roman" w:hAnsi="Times New Roman"/>
          <w:sz w:val="24"/>
          <w:szCs w:val="24"/>
          <w:shd w:val="clear" w:color="auto" w:fill="FFFFFF"/>
        </w:rPr>
        <w:t>(1), 246-259.</w:t>
      </w:r>
    </w:p>
    <w:p w14:paraId="488F9D54" w14:textId="77777777" w:rsidR="00A56139" w:rsidRPr="007A63CF" w:rsidRDefault="00A56139" w:rsidP="00A56139">
      <w:pPr>
        <w:spacing w:after="0" w:line="480" w:lineRule="auto"/>
        <w:contextualSpacing/>
        <w:jc w:val="both"/>
        <w:rPr>
          <w:rFonts w:ascii="Times New Roman" w:hAnsi="Times New Roman"/>
          <w:sz w:val="24"/>
          <w:szCs w:val="24"/>
          <w:shd w:val="clear" w:color="auto" w:fill="FFFFFF"/>
        </w:rPr>
      </w:pPr>
    </w:p>
    <w:sectPr w:rsidR="00A56139" w:rsidRPr="007A63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4A32AC" w14:textId="77777777" w:rsidR="00B04949" w:rsidRDefault="00B04949">
      <w:r>
        <w:separator/>
      </w:r>
    </w:p>
  </w:endnote>
  <w:endnote w:type="continuationSeparator" w:id="0">
    <w:p w14:paraId="4109EF77" w14:textId="77777777" w:rsidR="00B04949" w:rsidRDefault="00B0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CD893A" w14:textId="77777777" w:rsidR="00B04949" w:rsidRDefault="00B04949">
      <w:r>
        <w:separator/>
      </w:r>
    </w:p>
  </w:footnote>
  <w:footnote w:type="continuationSeparator" w:id="0">
    <w:p w14:paraId="31725871" w14:textId="77777777" w:rsidR="00B04949" w:rsidRDefault="00B04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3C14C8F6" w:rsidR="007B4DB9" w:rsidRPr="00A40055" w:rsidRDefault="007747A6">
    <w:pPr>
      <w:spacing w:after="0" w:line="480" w:lineRule="auto"/>
      <w:contextualSpacing/>
      <w:rPr>
        <w:rFonts w:ascii="Times New Roman" w:hAnsi="Times New Roman"/>
      </w:rPr>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D262DF">
      <w:rPr>
        <w:rFonts w:ascii="Times New Roman" w:hAnsi="Times New Roman"/>
        <w:sz w:val="24"/>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7B4DB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B4DB9" w:rsidRPr="00A40055">
      <w:rPr>
        <w:rFonts w:ascii="Times New Roman" w:hAnsi="Times New Roman"/>
        <w:sz w:val="24"/>
        <w:szCs w:val="24"/>
      </w:rPr>
      <w:fldChar w:fldCharType="separate"/>
    </w:r>
    <w:r w:rsidR="000132E3">
      <w:rPr>
        <w:rFonts w:ascii="Times New Roman" w:hAnsi="Times New Roman"/>
        <w:noProof/>
        <w:sz w:val="24"/>
        <w:szCs w:val="24"/>
      </w:rPr>
      <w:t>4</w:t>
    </w:r>
    <w:r w:rsidR="007B4DB9"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023915D9" w:rsidR="007B4DB9" w:rsidRDefault="007747A6" w:rsidP="00C7314B">
    <w:pPr>
      <w:spacing w:after="0" w:line="480" w:lineRule="auto"/>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sidR="007B4DB9">
      <w:rPr>
        <w:rFonts w:ascii="Times New Roman" w:hAnsi="Times New Roman"/>
        <w:caps/>
        <w:sz w:val="24"/>
        <w:szCs w:val="24"/>
      </w:rPr>
      <w:t xml:space="preserve">                                          </w:t>
    </w:r>
    <w:r w:rsidR="007B4DB9">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0B5363"/>
    <w:multiLevelType w:val="hybridMultilevel"/>
    <w:tmpl w:val="2C5C3296"/>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53DC"/>
    <w:rsid w:val="000132E3"/>
    <w:rsid w:val="00013DD9"/>
    <w:rsid w:val="00020159"/>
    <w:rsid w:val="000210DD"/>
    <w:rsid w:val="00022D94"/>
    <w:rsid w:val="00026B04"/>
    <w:rsid w:val="00030CD9"/>
    <w:rsid w:val="000340A2"/>
    <w:rsid w:val="00044B2D"/>
    <w:rsid w:val="000465F4"/>
    <w:rsid w:val="00050361"/>
    <w:rsid w:val="00055CB1"/>
    <w:rsid w:val="000751B3"/>
    <w:rsid w:val="00080FCD"/>
    <w:rsid w:val="00086D48"/>
    <w:rsid w:val="00087B62"/>
    <w:rsid w:val="000918A4"/>
    <w:rsid w:val="00097FEB"/>
    <w:rsid w:val="000B4F27"/>
    <w:rsid w:val="000C5BB3"/>
    <w:rsid w:val="000E0056"/>
    <w:rsid w:val="000E06D9"/>
    <w:rsid w:val="000E1781"/>
    <w:rsid w:val="000F2717"/>
    <w:rsid w:val="000F5A80"/>
    <w:rsid w:val="001030A0"/>
    <w:rsid w:val="00107E33"/>
    <w:rsid w:val="00107F64"/>
    <w:rsid w:val="00113FFC"/>
    <w:rsid w:val="0013043C"/>
    <w:rsid w:val="00130868"/>
    <w:rsid w:val="001319E4"/>
    <w:rsid w:val="0015018F"/>
    <w:rsid w:val="00150263"/>
    <w:rsid w:val="00150877"/>
    <w:rsid w:val="00153184"/>
    <w:rsid w:val="00154E03"/>
    <w:rsid w:val="00157E09"/>
    <w:rsid w:val="00167CE2"/>
    <w:rsid w:val="00192802"/>
    <w:rsid w:val="001B0630"/>
    <w:rsid w:val="001D149A"/>
    <w:rsid w:val="001D6C72"/>
    <w:rsid w:val="00201AA2"/>
    <w:rsid w:val="0021602A"/>
    <w:rsid w:val="00223D21"/>
    <w:rsid w:val="00233CB1"/>
    <w:rsid w:val="00260BA7"/>
    <w:rsid w:val="00270DE6"/>
    <w:rsid w:val="002B6681"/>
    <w:rsid w:val="002B7CA3"/>
    <w:rsid w:val="002D4C10"/>
    <w:rsid w:val="002E780C"/>
    <w:rsid w:val="003073D4"/>
    <w:rsid w:val="00313026"/>
    <w:rsid w:val="003154AA"/>
    <w:rsid w:val="0031704E"/>
    <w:rsid w:val="00322120"/>
    <w:rsid w:val="00337292"/>
    <w:rsid w:val="0034339A"/>
    <w:rsid w:val="0034605F"/>
    <w:rsid w:val="0034780F"/>
    <w:rsid w:val="00365442"/>
    <w:rsid w:val="00380971"/>
    <w:rsid w:val="003A6485"/>
    <w:rsid w:val="003B3C46"/>
    <w:rsid w:val="003D1AD8"/>
    <w:rsid w:val="003D6FDA"/>
    <w:rsid w:val="003E3863"/>
    <w:rsid w:val="003E7CB9"/>
    <w:rsid w:val="003F198C"/>
    <w:rsid w:val="004051EC"/>
    <w:rsid w:val="004242FA"/>
    <w:rsid w:val="004447C1"/>
    <w:rsid w:val="00455261"/>
    <w:rsid w:val="00470CCD"/>
    <w:rsid w:val="00475DDA"/>
    <w:rsid w:val="004B6795"/>
    <w:rsid w:val="004C294C"/>
    <w:rsid w:val="004D3E94"/>
    <w:rsid w:val="0052453D"/>
    <w:rsid w:val="00532581"/>
    <w:rsid w:val="005344B3"/>
    <w:rsid w:val="005421E9"/>
    <w:rsid w:val="005433F5"/>
    <w:rsid w:val="0055763D"/>
    <w:rsid w:val="005737A3"/>
    <w:rsid w:val="00593461"/>
    <w:rsid w:val="005C3C17"/>
    <w:rsid w:val="005C7A73"/>
    <w:rsid w:val="005D593C"/>
    <w:rsid w:val="005D650F"/>
    <w:rsid w:val="005E4DDD"/>
    <w:rsid w:val="005F690D"/>
    <w:rsid w:val="005F7B83"/>
    <w:rsid w:val="00617EFB"/>
    <w:rsid w:val="00624D78"/>
    <w:rsid w:val="00653B96"/>
    <w:rsid w:val="00663437"/>
    <w:rsid w:val="00664342"/>
    <w:rsid w:val="00664E62"/>
    <w:rsid w:val="006717A9"/>
    <w:rsid w:val="00674D0D"/>
    <w:rsid w:val="006764D1"/>
    <w:rsid w:val="00680BD0"/>
    <w:rsid w:val="006825EE"/>
    <w:rsid w:val="006A0524"/>
    <w:rsid w:val="006B1016"/>
    <w:rsid w:val="006C23C0"/>
    <w:rsid w:val="006C4BF4"/>
    <w:rsid w:val="007119C1"/>
    <w:rsid w:val="00715CD0"/>
    <w:rsid w:val="00725FC8"/>
    <w:rsid w:val="00735E4D"/>
    <w:rsid w:val="00767CBD"/>
    <w:rsid w:val="007747A6"/>
    <w:rsid w:val="007916F0"/>
    <w:rsid w:val="00792AA3"/>
    <w:rsid w:val="007A63CF"/>
    <w:rsid w:val="007B2C2F"/>
    <w:rsid w:val="007B3261"/>
    <w:rsid w:val="007B3937"/>
    <w:rsid w:val="007B4DB9"/>
    <w:rsid w:val="007B5318"/>
    <w:rsid w:val="007C2FAF"/>
    <w:rsid w:val="007C7EA3"/>
    <w:rsid w:val="007D2BAE"/>
    <w:rsid w:val="007D7A21"/>
    <w:rsid w:val="007E4509"/>
    <w:rsid w:val="00802E45"/>
    <w:rsid w:val="00807470"/>
    <w:rsid w:val="008163C1"/>
    <w:rsid w:val="00856DA1"/>
    <w:rsid w:val="0085790F"/>
    <w:rsid w:val="00861B93"/>
    <w:rsid w:val="008700BB"/>
    <w:rsid w:val="0087171F"/>
    <w:rsid w:val="00885F00"/>
    <w:rsid w:val="00892F47"/>
    <w:rsid w:val="008958BF"/>
    <w:rsid w:val="008C3270"/>
    <w:rsid w:val="008C52FE"/>
    <w:rsid w:val="008D2B08"/>
    <w:rsid w:val="008E4403"/>
    <w:rsid w:val="009247D8"/>
    <w:rsid w:val="00927EB3"/>
    <w:rsid w:val="00932206"/>
    <w:rsid w:val="0093408A"/>
    <w:rsid w:val="00940859"/>
    <w:rsid w:val="00942156"/>
    <w:rsid w:val="009561F1"/>
    <w:rsid w:val="00961A71"/>
    <w:rsid w:val="009626E1"/>
    <w:rsid w:val="0096275F"/>
    <w:rsid w:val="009763DF"/>
    <w:rsid w:val="009829DF"/>
    <w:rsid w:val="009852F9"/>
    <w:rsid w:val="009863AA"/>
    <w:rsid w:val="00991C5F"/>
    <w:rsid w:val="009A3E9F"/>
    <w:rsid w:val="009A5A21"/>
    <w:rsid w:val="009B0154"/>
    <w:rsid w:val="009C7D1B"/>
    <w:rsid w:val="009D27BD"/>
    <w:rsid w:val="009E0349"/>
    <w:rsid w:val="009E5FF7"/>
    <w:rsid w:val="009F1153"/>
    <w:rsid w:val="009F5A81"/>
    <w:rsid w:val="00A016F0"/>
    <w:rsid w:val="00A168E7"/>
    <w:rsid w:val="00A2718A"/>
    <w:rsid w:val="00A2759E"/>
    <w:rsid w:val="00A3116C"/>
    <w:rsid w:val="00A40055"/>
    <w:rsid w:val="00A43BD9"/>
    <w:rsid w:val="00A447D4"/>
    <w:rsid w:val="00A47497"/>
    <w:rsid w:val="00A547D2"/>
    <w:rsid w:val="00A56139"/>
    <w:rsid w:val="00A6594B"/>
    <w:rsid w:val="00A73B67"/>
    <w:rsid w:val="00A82C60"/>
    <w:rsid w:val="00A9202A"/>
    <w:rsid w:val="00A943A6"/>
    <w:rsid w:val="00A953A5"/>
    <w:rsid w:val="00A96E99"/>
    <w:rsid w:val="00AB2DEA"/>
    <w:rsid w:val="00AE2342"/>
    <w:rsid w:val="00AE3D9C"/>
    <w:rsid w:val="00AE48FE"/>
    <w:rsid w:val="00AF7194"/>
    <w:rsid w:val="00B022BF"/>
    <w:rsid w:val="00B04949"/>
    <w:rsid w:val="00B17BD2"/>
    <w:rsid w:val="00B23643"/>
    <w:rsid w:val="00B36633"/>
    <w:rsid w:val="00B40DBF"/>
    <w:rsid w:val="00B673DE"/>
    <w:rsid w:val="00B70869"/>
    <w:rsid w:val="00B71060"/>
    <w:rsid w:val="00B76E56"/>
    <w:rsid w:val="00B81460"/>
    <w:rsid w:val="00B92C80"/>
    <w:rsid w:val="00B9422F"/>
    <w:rsid w:val="00B96464"/>
    <w:rsid w:val="00BA30CB"/>
    <w:rsid w:val="00BB541B"/>
    <w:rsid w:val="00BF2A70"/>
    <w:rsid w:val="00BF35D3"/>
    <w:rsid w:val="00C00539"/>
    <w:rsid w:val="00C1692B"/>
    <w:rsid w:val="00C16ECA"/>
    <w:rsid w:val="00C21B7D"/>
    <w:rsid w:val="00C27EF9"/>
    <w:rsid w:val="00C414E2"/>
    <w:rsid w:val="00C43BF6"/>
    <w:rsid w:val="00C46565"/>
    <w:rsid w:val="00C52312"/>
    <w:rsid w:val="00C551AA"/>
    <w:rsid w:val="00C70745"/>
    <w:rsid w:val="00C7314B"/>
    <w:rsid w:val="00C8604C"/>
    <w:rsid w:val="00CA3801"/>
    <w:rsid w:val="00CA5D31"/>
    <w:rsid w:val="00CF7B9B"/>
    <w:rsid w:val="00D00521"/>
    <w:rsid w:val="00D2473A"/>
    <w:rsid w:val="00D261E7"/>
    <w:rsid w:val="00D262DF"/>
    <w:rsid w:val="00D3035F"/>
    <w:rsid w:val="00D36530"/>
    <w:rsid w:val="00D60389"/>
    <w:rsid w:val="00D603E0"/>
    <w:rsid w:val="00D63983"/>
    <w:rsid w:val="00D639C8"/>
    <w:rsid w:val="00D652D9"/>
    <w:rsid w:val="00D9704A"/>
    <w:rsid w:val="00DB2B91"/>
    <w:rsid w:val="00DC1667"/>
    <w:rsid w:val="00DC5324"/>
    <w:rsid w:val="00DE36D5"/>
    <w:rsid w:val="00DF6DAD"/>
    <w:rsid w:val="00E06003"/>
    <w:rsid w:val="00E466D9"/>
    <w:rsid w:val="00E669BF"/>
    <w:rsid w:val="00E67318"/>
    <w:rsid w:val="00EA4D0D"/>
    <w:rsid w:val="00EB69F4"/>
    <w:rsid w:val="00EC1E7D"/>
    <w:rsid w:val="00EC3C0C"/>
    <w:rsid w:val="00ED6E68"/>
    <w:rsid w:val="00EE2423"/>
    <w:rsid w:val="00F00438"/>
    <w:rsid w:val="00F07E00"/>
    <w:rsid w:val="00F137B6"/>
    <w:rsid w:val="00F16465"/>
    <w:rsid w:val="00F223FC"/>
    <w:rsid w:val="00F2391A"/>
    <w:rsid w:val="00F31619"/>
    <w:rsid w:val="00F34350"/>
    <w:rsid w:val="00F3640B"/>
    <w:rsid w:val="00F427FF"/>
    <w:rsid w:val="00F52648"/>
    <w:rsid w:val="00F54C34"/>
    <w:rsid w:val="00F87BF7"/>
    <w:rsid w:val="00F9254C"/>
    <w:rsid w:val="00FC0EE5"/>
    <w:rsid w:val="00FC6ABF"/>
    <w:rsid w:val="00FD0EA7"/>
    <w:rsid w:val="00FF3935"/>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6</Pages>
  <Words>1135</Words>
  <Characters>6474</Characters>
  <Application>Microsoft Office Word</Application>
  <DocSecurity>0</DocSecurity>
  <Lines>53</Lines>
  <Paragraphs>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158</cp:revision>
  <cp:lastPrinted>1899-12-31T22:00:00Z</cp:lastPrinted>
  <dcterms:created xsi:type="dcterms:W3CDTF">2020-09-25T09:13:00Z</dcterms:created>
  <dcterms:modified xsi:type="dcterms:W3CDTF">2020-09-25T14:48:00Z</dcterms:modified>
</cp:coreProperties>
</file>